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37F" w:rsidRDefault="002C737F" w:rsidP="002C737F">
      <w:pPr>
        <w:pStyle w:val="Default"/>
        <w:rPr>
          <w:b/>
          <w:bCs/>
          <w:sz w:val="28"/>
          <w:szCs w:val="28"/>
        </w:rPr>
      </w:pPr>
      <w:bookmarkStart w:id="0" w:name="_GoBack"/>
      <w:bookmarkEnd w:id="0"/>
      <w:r>
        <w:rPr>
          <w:b/>
          <w:bCs/>
          <w:noProof/>
          <w:sz w:val="28"/>
          <w:szCs w:val="28"/>
          <w:lang w:eastAsia="sk-SK"/>
        </w:rPr>
        <w:drawing>
          <wp:inline distT="0" distB="0" distL="0" distR="0">
            <wp:extent cx="5760720" cy="111315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 vlajka.png"/>
                    <pic:cNvPicPr/>
                  </pic:nvPicPr>
                  <pic:blipFill>
                    <a:blip r:embed="rId4">
                      <a:extLst>
                        <a:ext uri="{28A0092B-C50C-407E-A947-70E740481C1C}">
                          <a14:useLocalDpi xmlns:a14="http://schemas.microsoft.com/office/drawing/2010/main" val="0"/>
                        </a:ext>
                      </a:extLst>
                    </a:blip>
                    <a:stretch>
                      <a:fillRect/>
                    </a:stretch>
                  </pic:blipFill>
                  <pic:spPr>
                    <a:xfrm>
                      <a:off x="0" y="0"/>
                      <a:ext cx="5760720" cy="1113155"/>
                    </a:xfrm>
                    <a:prstGeom prst="rect">
                      <a:avLst/>
                    </a:prstGeom>
                  </pic:spPr>
                </pic:pic>
              </a:graphicData>
            </a:graphic>
          </wp:inline>
        </w:drawing>
      </w:r>
      <w:r>
        <w:rPr>
          <w:b/>
          <w:bCs/>
          <w:noProof/>
          <w:sz w:val="28"/>
          <w:szCs w:val="28"/>
          <w:lang w:eastAsia="sk-SK"/>
        </w:rPr>
        <w:drawing>
          <wp:inline distT="0" distB="0" distL="0" distR="0" wp14:anchorId="1D2E4CFB" wp14:editId="144BF4FB">
            <wp:extent cx="2571381" cy="1828800"/>
            <wp:effectExtent l="0" t="0" r="63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isterstvo podohospodarstv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8698" cy="1841116"/>
                    </a:xfrm>
                    <a:prstGeom prst="rect">
                      <a:avLst/>
                    </a:prstGeom>
                  </pic:spPr>
                </pic:pic>
              </a:graphicData>
            </a:graphic>
          </wp:inline>
        </w:drawing>
      </w:r>
    </w:p>
    <w:p w:rsidR="002C737F" w:rsidRDefault="002C737F" w:rsidP="002C737F">
      <w:pPr>
        <w:pStyle w:val="Default"/>
        <w:rPr>
          <w:rFonts w:ascii="Calibri" w:hAnsi="Calibri"/>
          <w:color w:val="auto"/>
          <w:sz w:val="28"/>
          <w:szCs w:val="28"/>
        </w:rPr>
      </w:pPr>
      <w:r>
        <w:rPr>
          <w:b/>
          <w:bCs/>
          <w:sz w:val="28"/>
          <w:szCs w:val="28"/>
        </w:rPr>
        <w:t xml:space="preserve">Názov projektu:  </w:t>
      </w:r>
      <w:r>
        <w:rPr>
          <w:rFonts w:ascii="Calibri" w:hAnsi="Calibri"/>
          <w:b/>
          <w:bCs/>
          <w:color w:val="auto"/>
          <w:sz w:val="28"/>
          <w:szCs w:val="28"/>
        </w:rPr>
        <w:t>Rekonštrukcia miestnych komunikácií v obci Rakša</w:t>
      </w:r>
    </w:p>
    <w:p w:rsidR="002C737F" w:rsidRDefault="002C737F" w:rsidP="002C737F">
      <w:pPr>
        <w:jc w:val="both"/>
        <w:rPr>
          <w:b/>
          <w:bCs/>
          <w:sz w:val="28"/>
          <w:szCs w:val="28"/>
        </w:rPr>
      </w:pPr>
    </w:p>
    <w:p w:rsidR="002C737F" w:rsidRDefault="002C737F" w:rsidP="002C737F">
      <w:pPr>
        <w:jc w:val="both"/>
        <w:rPr>
          <w:b/>
          <w:bCs/>
          <w:color w:val="FF0000"/>
          <w:sz w:val="28"/>
          <w:szCs w:val="28"/>
        </w:rPr>
      </w:pPr>
      <w:r>
        <w:rPr>
          <w:b/>
          <w:bCs/>
          <w:sz w:val="28"/>
          <w:szCs w:val="28"/>
        </w:rPr>
        <w:t xml:space="preserve">Cieľ a popis projektu: </w:t>
      </w:r>
      <w:r>
        <w:rPr>
          <w:sz w:val="24"/>
          <w:szCs w:val="24"/>
        </w:rPr>
        <w:t xml:space="preserve">Prioritným cieľom projektu je posilnenie infraštruktúrnej vybavenosti územia prostredníctvom komplexnej úpravy. Cieľom predkladaného projektu je rekonštrukcia  miestnej komunikácie a to konkrétne vetvy B v obci Rakša, čím sa posilní vybavenosť územia prostredníctvom komplexnej úpravy týchto komunikácií. Rekonštrukcia miestnej komunikácie bude mať za následok zvýšenie konkurencieschopnosti obce. Realizáciou projektu sa zlepší nielen vizuálny charakter obce, ale i kvalita miestnej infraštruktúry, čo bude mať za následok zvýšenie bezpečnosti života obyvateľov i návštevníkov obce.                         </w:t>
      </w:r>
      <w:r>
        <w:rPr>
          <w:sz w:val="28"/>
          <w:szCs w:val="28"/>
        </w:rPr>
        <w:t xml:space="preserve">                                                                                              </w:t>
      </w:r>
    </w:p>
    <w:p w:rsidR="002C737F" w:rsidRDefault="002C737F" w:rsidP="002C737F">
      <w:pPr>
        <w:jc w:val="center"/>
        <w:rPr>
          <w:b/>
          <w:bCs/>
          <w:color w:val="C45911"/>
          <w:sz w:val="28"/>
          <w:szCs w:val="28"/>
        </w:rPr>
      </w:pPr>
      <w:r>
        <w:rPr>
          <w:b/>
          <w:bCs/>
          <w:color w:val="C45911"/>
          <w:sz w:val="28"/>
          <w:szCs w:val="28"/>
        </w:rPr>
        <w:t>Tento projekt sa realizuje vďaka podpore z Európskeho poľnohospodárskeho fondu pre rozvoj vidieka v rámci Programu rozvoja vidieka SR 2014 – 2020.</w:t>
      </w:r>
    </w:p>
    <w:p w:rsidR="002C737F" w:rsidRDefault="002C737F" w:rsidP="002C737F">
      <w:pPr>
        <w:rPr>
          <w:b/>
          <w:bCs/>
          <w:sz w:val="28"/>
          <w:szCs w:val="28"/>
        </w:rPr>
      </w:pPr>
    </w:p>
    <w:p w:rsidR="002C737F" w:rsidRDefault="002C737F" w:rsidP="002C737F">
      <w:pPr>
        <w:jc w:val="both"/>
        <w:rPr>
          <w:b/>
          <w:bCs/>
          <w:sz w:val="20"/>
          <w:szCs w:val="20"/>
        </w:rPr>
      </w:pPr>
      <w:r>
        <w:rPr>
          <w:sz w:val="20"/>
          <w:szCs w:val="20"/>
        </w:rPr>
        <w:t xml:space="preserve">Program: </w:t>
      </w:r>
      <w:r>
        <w:rPr>
          <w:b/>
          <w:bCs/>
          <w:sz w:val="20"/>
          <w:szCs w:val="20"/>
        </w:rPr>
        <w:t>Program rozvoja vidieka SR 2014 – 2020</w:t>
      </w:r>
    </w:p>
    <w:p w:rsidR="002C737F" w:rsidRDefault="002C737F" w:rsidP="002C737F">
      <w:pPr>
        <w:jc w:val="both"/>
        <w:rPr>
          <w:b/>
          <w:bCs/>
          <w:sz w:val="20"/>
          <w:szCs w:val="20"/>
        </w:rPr>
      </w:pPr>
      <w:r>
        <w:rPr>
          <w:sz w:val="20"/>
          <w:szCs w:val="20"/>
        </w:rPr>
        <w:t xml:space="preserve">Spolufinancovaný fondom: </w:t>
      </w:r>
      <w:r>
        <w:rPr>
          <w:b/>
          <w:bCs/>
          <w:sz w:val="20"/>
          <w:szCs w:val="20"/>
        </w:rPr>
        <w:t>Európsky poľnohospodársky fond pre rozvoj vidieka (EPFRV)</w:t>
      </w:r>
    </w:p>
    <w:p w:rsidR="002C737F" w:rsidRDefault="002C737F" w:rsidP="002C737F">
      <w:pPr>
        <w:jc w:val="both"/>
        <w:rPr>
          <w:b/>
          <w:bCs/>
          <w:sz w:val="20"/>
          <w:szCs w:val="20"/>
        </w:rPr>
      </w:pPr>
      <w:r>
        <w:rPr>
          <w:sz w:val="20"/>
          <w:szCs w:val="20"/>
        </w:rPr>
        <w:t xml:space="preserve">Opatrenie č./názov : </w:t>
      </w:r>
      <w:r>
        <w:rPr>
          <w:b/>
          <w:bCs/>
          <w:sz w:val="20"/>
          <w:szCs w:val="20"/>
        </w:rPr>
        <w:t>7 Základné služby a obnova dedín vo vidieckych oblastiach</w:t>
      </w:r>
    </w:p>
    <w:p w:rsidR="002C737F" w:rsidRDefault="002C737F" w:rsidP="002C737F">
      <w:pPr>
        <w:jc w:val="both"/>
        <w:rPr>
          <w:b/>
          <w:bCs/>
          <w:sz w:val="20"/>
          <w:szCs w:val="20"/>
        </w:rPr>
      </w:pPr>
      <w:proofErr w:type="spellStart"/>
      <w:r>
        <w:rPr>
          <w:sz w:val="20"/>
          <w:szCs w:val="20"/>
        </w:rPr>
        <w:t>Podopatrenie</w:t>
      </w:r>
      <w:proofErr w:type="spellEnd"/>
      <w:r>
        <w:rPr>
          <w:sz w:val="20"/>
          <w:szCs w:val="20"/>
        </w:rPr>
        <w:t xml:space="preserve"> č./názov: </w:t>
      </w:r>
      <w:r>
        <w:rPr>
          <w:b/>
          <w:bCs/>
          <w:sz w:val="20"/>
          <w:szCs w:val="20"/>
        </w:rPr>
        <w:t>7.2 Podpora na investície do vytvárania, zlepšovania alebo rozširovania všetkých druhov infraštruktúr malých rozmerov vrátane investícií do energie z obnoviteľných zdrojov a úspor energie – Investície do vytvárania, zlepšovania alebo rozširovania všetkých druhov infraštruktúr malých rozmerov</w:t>
      </w:r>
    </w:p>
    <w:p w:rsidR="002C737F" w:rsidRDefault="002C737F" w:rsidP="002C737F">
      <w:pPr>
        <w:jc w:val="both"/>
        <w:rPr>
          <w:b/>
          <w:bCs/>
          <w:sz w:val="20"/>
          <w:szCs w:val="20"/>
        </w:rPr>
      </w:pPr>
      <w:r>
        <w:rPr>
          <w:sz w:val="20"/>
          <w:szCs w:val="20"/>
        </w:rPr>
        <w:t xml:space="preserve">Číslo Výzvy: </w:t>
      </w:r>
      <w:r>
        <w:rPr>
          <w:b/>
          <w:bCs/>
          <w:sz w:val="20"/>
          <w:szCs w:val="20"/>
        </w:rPr>
        <w:t>13/PRV/2015</w:t>
      </w:r>
    </w:p>
    <w:p w:rsidR="002C737F" w:rsidRDefault="002C737F" w:rsidP="002C737F">
      <w:pPr>
        <w:jc w:val="both"/>
        <w:rPr>
          <w:b/>
          <w:bCs/>
          <w:sz w:val="20"/>
          <w:szCs w:val="20"/>
        </w:rPr>
      </w:pPr>
      <w:r>
        <w:rPr>
          <w:sz w:val="20"/>
          <w:szCs w:val="20"/>
        </w:rPr>
        <w:t xml:space="preserve">Poskytovateľ: </w:t>
      </w:r>
      <w:r>
        <w:rPr>
          <w:b/>
          <w:bCs/>
          <w:sz w:val="20"/>
          <w:szCs w:val="20"/>
        </w:rPr>
        <w:t>Pôdohospodárska platobná agentúra</w:t>
      </w:r>
    </w:p>
    <w:p w:rsidR="002C737F" w:rsidRDefault="002C737F" w:rsidP="002C737F">
      <w:pPr>
        <w:jc w:val="both"/>
        <w:rPr>
          <w:b/>
          <w:bCs/>
          <w:sz w:val="20"/>
          <w:szCs w:val="20"/>
        </w:rPr>
      </w:pPr>
      <w:r>
        <w:rPr>
          <w:sz w:val="20"/>
          <w:szCs w:val="20"/>
        </w:rPr>
        <w:t xml:space="preserve">Prijímateľ: </w:t>
      </w:r>
      <w:r>
        <w:rPr>
          <w:b/>
          <w:bCs/>
          <w:sz w:val="20"/>
          <w:szCs w:val="20"/>
        </w:rPr>
        <w:t>Obec Rakša</w:t>
      </w:r>
    </w:p>
    <w:p w:rsidR="002C737F" w:rsidRDefault="002C737F" w:rsidP="002C737F">
      <w:pPr>
        <w:pStyle w:val="Default"/>
        <w:rPr>
          <w:b/>
          <w:bCs/>
          <w:sz w:val="20"/>
          <w:szCs w:val="20"/>
        </w:rPr>
      </w:pPr>
      <w:r>
        <w:rPr>
          <w:sz w:val="20"/>
          <w:szCs w:val="20"/>
        </w:rPr>
        <w:t xml:space="preserve">Sídlo: </w:t>
      </w:r>
      <w:r>
        <w:t> </w:t>
      </w:r>
      <w:r>
        <w:rPr>
          <w:sz w:val="20"/>
          <w:szCs w:val="20"/>
        </w:rPr>
        <w:t xml:space="preserve">Rakša 81, 039 01 Turčianske Teplice </w:t>
      </w:r>
    </w:p>
    <w:p w:rsidR="002C737F" w:rsidRDefault="002C737F" w:rsidP="002C737F">
      <w:pPr>
        <w:pStyle w:val="Default"/>
        <w:rPr>
          <w:b/>
          <w:bCs/>
          <w:sz w:val="20"/>
          <w:szCs w:val="20"/>
        </w:rPr>
      </w:pPr>
      <w:r>
        <w:rPr>
          <w:sz w:val="20"/>
          <w:szCs w:val="20"/>
        </w:rPr>
        <w:t>Miesto realizácie projektu: Obec Rakša</w:t>
      </w:r>
    </w:p>
    <w:p w:rsidR="002C737F" w:rsidRDefault="002C737F" w:rsidP="002C737F">
      <w:pPr>
        <w:jc w:val="both"/>
        <w:rPr>
          <w:sz w:val="20"/>
          <w:szCs w:val="20"/>
        </w:rPr>
      </w:pPr>
    </w:p>
    <w:p w:rsidR="002C737F" w:rsidRDefault="002C737F" w:rsidP="002C737F">
      <w:pPr>
        <w:rPr>
          <w:b/>
          <w:bCs/>
          <w:sz w:val="20"/>
          <w:szCs w:val="20"/>
        </w:rPr>
      </w:pPr>
      <w:r>
        <w:rPr>
          <w:b/>
          <w:bCs/>
          <w:sz w:val="20"/>
          <w:szCs w:val="20"/>
        </w:rPr>
        <w:t>Celková výška oprávnených výdavkov projektu: 82 356,42 EUR</w:t>
      </w:r>
    </w:p>
    <w:p w:rsidR="002C737F" w:rsidRDefault="002C737F" w:rsidP="002C737F">
      <w:pPr>
        <w:rPr>
          <w:b/>
          <w:bCs/>
          <w:sz w:val="20"/>
          <w:szCs w:val="20"/>
        </w:rPr>
      </w:pPr>
      <w:r>
        <w:rPr>
          <w:b/>
          <w:bCs/>
          <w:sz w:val="20"/>
          <w:szCs w:val="20"/>
        </w:rPr>
        <w:t>Nenávratný finančný príspevok (EPFRV/ŠR SR): 82 356,42 EUR</w:t>
      </w:r>
    </w:p>
    <w:p w:rsidR="002C737F" w:rsidRDefault="002C737F" w:rsidP="002C737F">
      <w:pPr>
        <w:jc w:val="center"/>
        <w:rPr>
          <w:rStyle w:val="Hypertextovprepojenie"/>
        </w:rPr>
      </w:pPr>
      <w:hyperlink r:id="rId6" w:history="1">
        <w:r>
          <w:rPr>
            <w:rStyle w:val="Hypertextovprepojenie"/>
          </w:rPr>
          <w:t>http://www.mpsr.sk/</w:t>
        </w:r>
      </w:hyperlink>
      <w:r>
        <w:rPr>
          <w:rStyle w:val="Hypertextovprepojenie"/>
        </w:rPr>
        <w:t xml:space="preserve">, </w:t>
      </w:r>
    </w:p>
    <w:p w:rsidR="00051D7E" w:rsidRDefault="002C737F" w:rsidP="002C737F">
      <w:pPr>
        <w:jc w:val="center"/>
      </w:pPr>
      <w:hyperlink r:id="rId7" w:history="1">
        <w:r>
          <w:rPr>
            <w:rStyle w:val="Hypertextovprepojenie"/>
          </w:rPr>
          <w:t>http://www.apa.sk/</w:t>
        </w:r>
      </w:hyperlink>
    </w:p>
    <w:sectPr w:rsidR="00051D7E" w:rsidSect="002C737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7F"/>
    <w:rsid w:val="00051D7E"/>
    <w:rsid w:val="002C73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71D5D-96AB-4DBB-930C-F4D6353F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C737F"/>
    <w:pPr>
      <w:spacing w:after="0" w:line="240" w:lineRule="auto"/>
    </w:pPr>
    <w:rPr>
      <w:rFonts w:ascii="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2C737F"/>
    <w:rPr>
      <w:color w:val="0563C1"/>
      <w:u w:val="single"/>
    </w:rPr>
  </w:style>
  <w:style w:type="paragraph" w:customStyle="1" w:styleId="Default">
    <w:name w:val="Default"/>
    <w:basedOn w:val="Normlny"/>
    <w:rsid w:val="002C737F"/>
    <w:pPr>
      <w:autoSpaceDE w:val="0"/>
      <w:autoSpaceDN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72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pa.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psr.sk/" TargetMode="External"/><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1601</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BLŠTÁKOVÁ Gabriela</dc:creator>
  <cp:keywords/>
  <dc:description/>
  <cp:lastModifiedBy>BLŠTÁKOVÁ Gabriela</cp:lastModifiedBy>
  <cp:revision>1</cp:revision>
  <dcterms:created xsi:type="dcterms:W3CDTF">2018-10-17T13:00:00Z</dcterms:created>
  <dcterms:modified xsi:type="dcterms:W3CDTF">2018-10-17T13:04:00Z</dcterms:modified>
</cp:coreProperties>
</file>